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32"/>
          <w:szCs w:val="32"/>
          <w:vertAlign w:val="superscript"/>
          <w:rtl w:val="0"/>
        </w:rPr>
        <w:t xml:space="preserve">ème</w:t>
      </w:r>
      <w:r w:rsidDel="00000000" w:rsidR="00000000" w:rsidRPr="00000000">
        <w:rPr>
          <w:rFonts w:ascii="Candara" w:cs="Candara" w:eastAsia="Candara" w:hAnsi="Candara"/>
          <w:b w:val="1"/>
          <w:smallCaps w:val="1"/>
          <w:sz w:val="32"/>
          <w:szCs w:val="32"/>
          <w:rtl w:val="0"/>
        </w:rPr>
        <w:t xml:space="preserve"> dimanche du CARÊME – 5 mars 2023 – Année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Chant d’entrée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  <w:tab/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Rends-nous la joie de ton salut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(G 268)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Pour l’appel à rejoindre ton peuple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(GP 14-58-1 / G 14-58-1)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Candara" w:cs="Candara" w:eastAsia="Candara" w:hAnsi="Candara"/>
          <w:rtl w:val="0"/>
        </w:rPr>
        <w:tab/>
        <w:tab/>
        <w:tab/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Vous tous qui peinez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</w:t>
      </w: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(GA 70-28)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Rite pénitentiel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Invitation à un temps de silence,</w:t>
      </w:r>
    </w:p>
    <w:p w:rsidR="00000000" w:rsidDel="00000000" w:rsidP="00000000" w:rsidRDefault="00000000" w:rsidRPr="00000000" w14:paraId="0000000A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Reconnaissons que nous sommes pécheurs et proclamons la miséricorde de Dieu</w:t>
      </w:r>
    </w:p>
    <w:p w:rsidR="00000000" w:rsidDel="00000000" w:rsidP="00000000" w:rsidRDefault="00000000" w:rsidRPr="00000000" w14:paraId="0000000C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Je confesse à Dieu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 + Messe de St Jean / au choix de l’animateur</w:t>
      </w:r>
    </w:p>
    <w:p w:rsidR="00000000" w:rsidDel="00000000" w:rsidP="00000000" w:rsidRDefault="00000000" w:rsidRPr="00000000" w14:paraId="0000000E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Que Dieu tout-puissant ….</w:t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Prière d’ouverture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40" w:before="0" w:line="276" w:lineRule="auto"/>
        <w:jc w:val="both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Seigneur Dieu, tu nous a dit d’écouter ton Fils bien aimé ; fais-nous trouver dans ta parole la nourriture de notre vie spirituelle, afin que, d’un regard purifié, nous ayons la joie de contempler ta gloire. Par Jésus-Christ, ton Fils, notre Seigneur, qui vit et règne avec toi dans l’unité du Saint-Esprit, Dieu, pour les siècles des siècles. </w:t>
      </w:r>
    </w:p>
    <w:p w:rsidR="00000000" w:rsidDel="00000000" w:rsidP="00000000" w:rsidRDefault="00000000" w:rsidRPr="00000000" w14:paraId="00000013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0"/>
        </w:rPr>
        <w:t xml:space="preserve">Liturgie de la Parole</w:t>
      </w:r>
    </w:p>
    <w:p w:rsidR="00000000" w:rsidDel="00000000" w:rsidP="00000000" w:rsidRDefault="00000000" w:rsidRPr="00000000" w14:paraId="00000016">
      <w:pPr>
        <w:jc w:val="center"/>
        <w:rPr>
          <w:rFonts w:ascii="Candara" w:cs="Candara" w:eastAsia="Candara" w:hAnsi="Candara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Première lecture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- Lecture du livre de la Genèse 12,1-4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Psaume </w:t>
      </w:r>
      <w:r w:rsidDel="00000000" w:rsidR="00000000" w:rsidRPr="00000000">
        <w:rPr>
          <w:rFonts w:ascii="Candara" w:cs="Candara" w:eastAsia="Candara" w:hAnsi="Candara"/>
          <w:b w:val="1"/>
          <w:u w:val="single"/>
          <w:rtl w:val="0"/>
        </w:rPr>
        <w:t xml:space="preserve">32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ab/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« Que ton amour Seigneur soit sur nous, comme notre espoir est en toi !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Deuxième lecture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- Lecture de la seconde lettre de saint Paul Apôtre à Timothée 1,8b-10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Acclamation à l’Évangile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 xml:space="preserve">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Gloire au Christ, Parole éternelle du Dieu vivant </w:t>
      </w:r>
    </w:p>
    <w:p w:rsidR="00000000" w:rsidDel="00000000" w:rsidP="00000000" w:rsidRDefault="00000000" w:rsidRPr="00000000" w14:paraId="0000001E">
      <w:pPr>
        <w:ind w:left="2160" w:firstLine="720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Gloire à toi, Seigneur »</w:t>
      </w:r>
    </w:p>
    <w:p w:rsidR="00000000" w:rsidDel="00000000" w:rsidP="00000000" w:rsidRDefault="00000000" w:rsidRPr="00000000" w14:paraId="0000001F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Verset : D</w:t>
      </w: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e la nuée lumineuse, la voix du Père a retenti : « Celui-ci est mon Fils bien-aimé, écoutez-le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.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Évangile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- Mathieu 17,1-9</w:t>
        <w:tab/>
        <w:tab/>
      </w: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Homélie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Credo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  <w:tab/>
        <w:t xml:space="preserve">-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Symbole de Nicée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Prière universelle </w:t>
      </w:r>
      <w:r w:rsidDel="00000000" w:rsidR="00000000" w:rsidRPr="00000000">
        <w:rPr>
          <w:rFonts w:ascii="Candara" w:cs="Candara" w:eastAsia="Candara" w:hAnsi="Candara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rtl w:val="0"/>
        </w:rPr>
        <w:tab/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Nous avons pour mission d’être « des petites lampes d’Évangile » dit le pape François. Sûrs de notre foi, prions pour nos frères et nos sœurs qui peinent dans l’obscurité et la pauvreté.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R/ « Accueille au creux de tes mains, la prière de tes enfants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1 –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La vie et la mission de l’Église sont toujours affaire de vocations. Nous te confions Seigneur, les hommes et les femmes que tu appelles aujourd’hui à un choix de vie radical pour suivre le Christ. Comble-les de tes bénédictions, nous t’en prions 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2 –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Bien des endroits de notre monde demeurent plongés dans l’obscurité du mal en raison de la guerre, de l’intolérance, des injustices. Inspire aux dirigeants du monde la volonté de travailler à la justice et à la paix, nous t’en prions 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3 –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La violence, les agressions, les accidents, la maladie causent beaucoup de souffrance. Nous te confions Seigneur, nos frères et nos sœurs accablés et désespérés. Redis-leur ta tendresse, nous t’en prions 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.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4 –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L’Évangile est chemin de vie et de bonheur. Nous te confions, Seigneur, les enfants des équipes de catéchèse et les catéchumènes qui s’émerveillent à l’écoute de ta Parole.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Affermis-les dans la foi, nous t’en prions 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 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Dieu tout-puissant, par ton fils Jésus, tu révèles ta gloire à tes Apôtres et tu nous demandes de l’écouter. Que ta Parole nous guide sur le chemin qui nous mène à toi, par Jésus, le Christ, notre Seigneur. </w:t>
      </w:r>
    </w:p>
    <w:p w:rsidR="00000000" w:rsidDel="00000000" w:rsidP="00000000" w:rsidRDefault="00000000" w:rsidRPr="00000000" w14:paraId="00000033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ndara" w:cs="Candara" w:eastAsia="Candara" w:hAnsi="Candara"/>
          <w:b w:val="1"/>
          <w:smallCaps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mallCaps w:val="1"/>
          <w:sz w:val="28"/>
          <w:szCs w:val="28"/>
          <w:rtl w:val="0"/>
        </w:rPr>
        <w:t xml:space="preserve">Liturgie de l’Eucharistie</w:t>
      </w:r>
    </w:p>
    <w:p w:rsidR="00000000" w:rsidDel="00000000" w:rsidP="00000000" w:rsidRDefault="00000000" w:rsidRPr="00000000" w14:paraId="00000035">
      <w:pPr>
        <w:jc w:val="center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Sanctus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  <w:tab/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Messe du partage / au choix de l’animateur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Anamnèse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  <w:tab/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Saint Boniface / au choix de l’animateur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Notre Père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Candara" w:cs="Candara" w:eastAsia="Candara" w:hAnsi="Candara"/>
          <w:sz w:val="22"/>
          <w:szCs w:val="22"/>
          <w:u w:val="single"/>
          <w:rtl w:val="0"/>
        </w:rPr>
        <w:t xml:space="preserve">Agnus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:</w:t>
        <w:tab/>
        <w:tab/>
        <w:tab/>
        <w:t xml:space="preserve">-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Agneau de Dieu, pauvre de Dieu / au choix de l’animateur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Chant de communion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ab/>
        <w:tab/>
        <w:tab/>
        <w:t xml:space="preserve">- « Dieu nous a tous appelés »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(KD 14-56-1 A 14-56-1)</w:t>
      </w:r>
    </w:p>
    <w:p w:rsidR="00000000" w:rsidDel="00000000" w:rsidP="00000000" w:rsidRDefault="00000000" w:rsidRPr="00000000" w14:paraId="0000003D">
      <w:pPr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ou</w:t>
      </w:r>
    </w:p>
    <w:p w:rsidR="00000000" w:rsidDel="00000000" w:rsidP="00000000" w:rsidRDefault="00000000" w:rsidRPr="00000000" w14:paraId="0000003E">
      <w:pPr>
        <w:ind w:firstLine="0"/>
        <w:rPr>
          <w:u w:val="single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Action de grâce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720"/>
        <w:rPr/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Laissons-nous transformer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(N47-99)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Candara" w:cs="Candara" w:eastAsia="Candara" w:hAnsi="Candara"/>
          <w:rtl w:val="0"/>
        </w:rPr>
        <w:tab/>
        <w:tab/>
        <w:tab/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Je vous ai choisis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</w:t>
      </w: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(DEV44-63)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Prière après la communion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40" w:before="0" w:line="276" w:lineRule="auto"/>
        <w:rPr>
          <w:rFonts w:ascii="Candara" w:cs="Candara" w:eastAsia="Candara" w:hAnsi="Candara"/>
          <w:b w:val="1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Après avoir communié, Seigneur, aux mystères de ta gloire, nous tenons à te rendre grâce, car tu nous donnes déjà sur cette terre d’avoir part aux biens du ciel. Par l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e</w:t>
      </w: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 Christ,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notre</w:t>
      </w: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 Seigneur</w:t>
      </w:r>
    </w:p>
    <w:p w:rsidR="00000000" w:rsidDel="00000000" w:rsidP="00000000" w:rsidRDefault="00000000" w:rsidRPr="00000000" w14:paraId="00000044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u w:val="single"/>
          <w:rtl w:val="0"/>
        </w:rPr>
        <w:t xml:space="preserve">Chant d’envoi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:</w:t>
      </w: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Candara" w:cs="Candara" w:eastAsia="Candara" w:hAnsi="Candara"/>
          <w:rtl w:val="0"/>
        </w:rPr>
        <w:tab/>
        <w:tab/>
        <w:tab/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- « Pour l’appel à rejoindre ton peuple » Couplet 1-2-3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(GP 14-58-1 / G14-58-1)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ndara" w:cs="Candara" w:eastAsia="Candara" w:hAnsi="Candara"/>
          <w:rtl w:val="0"/>
        </w:rPr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Vivons en enfants de lumière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(G14-57-1)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Candara" w:cs="Candara" w:eastAsia="Candara" w:hAnsi="Candara"/>
          <w:rtl w:val="0"/>
        </w:rPr>
        <w:tab/>
        <w:tab/>
        <w:tab/>
        <w:t xml:space="preserve">- « 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Christ aujourd’hui nous appelle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 » (T176/SM176)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SimSun;宋体" w:hAnsi="Times New Roman"/>
      <w:color w:val="auto"/>
      <w:kern w:val="0"/>
      <w:sz w:val="24"/>
      <w:szCs w:val="24"/>
      <w:lang w:bidi="hi-IN" w:eastAsia="zh-CN" w:val="fr-FR"/>
    </w:rPr>
  </w:style>
  <w:style w:type="paragraph" w:styleId="Titre1">
    <w:name w:val="Heading 1"/>
    <w:basedOn w:val="LOnormal"/>
    <w:next w:val="LO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LOnormal"/>
    <w:next w:val="LO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Pagenumber">
    <w:name w:val="page number"/>
    <w:basedOn w:val="DefaultParagraphFont"/>
    <w:qFormat w:val="1"/>
    <w:rPr/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sdetexte">
    <w:name w:val="Body Text"/>
    <w:basedOn w:val="LO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LOnormal"/>
    <w:qFormat w:val="1"/>
    <w:pPr>
      <w:suppressLineNumbers w:val="1"/>
    </w:pPr>
    <w:rPr>
      <w:rFonts w:cs="Lohit Devanagari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Lohit Devanagari" w:eastAsia="Tahoma" w:hAnsi="Times New Roman"/>
      <w:color w:val="auto"/>
      <w:kern w:val="0"/>
      <w:sz w:val="24"/>
      <w:szCs w:val="24"/>
      <w:lang w:bidi="hi-IN" w:eastAsia="zh-CN" w:val="fr-FR"/>
    </w:rPr>
  </w:style>
  <w:style w:type="paragraph" w:styleId="Titreprincipal">
    <w:name w:val="Title"/>
    <w:basedOn w:val="LOnormal"/>
    <w:next w:val="Corpsdetexte"/>
    <w:uiPriority w:val="10"/>
    <w:qFormat w:val="1"/>
    <w:pPr>
      <w:keepNext w:val="1"/>
      <w:spacing w:after="120" w:before="240"/>
    </w:pPr>
    <w:rPr>
      <w:rFonts w:ascii="Liberation Sans;Arial" w:cs="Lohit Devanagari" w:eastAsia="Noto Sans CJK SC" w:hAnsi="Liberation Sans;Arial"/>
      <w:sz w:val="28"/>
      <w:szCs w:val="28"/>
    </w:rPr>
  </w:style>
  <w:style w:type="paragraph" w:styleId="Caption">
    <w:name w:val="caption"/>
    <w:basedOn w:val="LO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Entteetpieddepage" w:customStyle="1">
    <w:name w:val="En-tête et pied de page"/>
    <w:basedOn w:val="LOnormal"/>
    <w:qFormat w:val="1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Pieddepage">
    <w:name w:val="Footer"/>
    <w:basedOn w:val="LOnormal"/>
    <w:pPr>
      <w:tabs>
        <w:tab w:val="clear" w:pos="720"/>
        <w:tab w:val="center" w:leader="none" w:pos="4536"/>
        <w:tab w:val="right" w:leader="none" w:pos="9072"/>
      </w:tabs>
    </w:pPr>
    <w:rPr/>
  </w:style>
  <w:style w:type="paragraph" w:styleId="Contenudecadre" w:customStyle="1">
    <w:name w:val="Contenu de cadre"/>
    <w:basedOn w:val="LOnormal"/>
    <w:qFormat w:val="1"/>
    <w:pPr/>
    <w:rPr/>
  </w:style>
  <w:style w:type="paragraph" w:styleId="Soustitre">
    <w:name w:val="Subtitle"/>
    <w:basedOn w:val="LOnormal"/>
    <w:next w:val="LOnormal"/>
    <w:uiPriority w:val="1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RcxfnRyS8WR1aSoSX8fSRSXQKg==">AMUW2mWG2QJcSZcV0KO5SMmxtr4oPFkCNEgezfL5sb/bl7JDt8NG8QbGqSe0vd2iLC9nhHQkmieGhTmFpk4U+2I+xZoNw4kZYqEBAXnHTArXBFTvgHiS1ws=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2023-02-20T17:11:00Z</dcterms:created>
  <dc:creator>yvonne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